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ff0000"/>
          <w:sz w:val="30"/>
          <w:szCs w:val="30"/>
          <w:rtl w:val="0"/>
        </w:rPr>
        <w:t xml:space="preserve">Procédure a Suivre pour un Start Largement Optimisé</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u w:val="single"/>
          <w:rtl w:val="0"/>
        </w:rPr>
        <w:t xml:space="preserve">Les objectifs quotidiens sont très important !</w:t>
      </w:r>
      <w:r w:rsidDel="00000000" w:rsidR="00000000" w:rsidRPr="00000000">
        <w:rPr>
          <w:rtl w:val="0"/>
        </w:rPr>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u w:val="single"/>
          <w:rtl w:val="0"/>
        </w:rPr>
        <w:t xml:space="preserve">Veillez a ne jamais déborder en ressources :)</w:t>
      </w:r>
      <w:r w:rsidDel="00000000" w:rsidR="00000000" w:rsidRPr="00000000">
        <w:rPr>
          <w:rtl w:val="0"/>
        </w:rPr>
      </w:r>
    </w:p>
    <w:p w:rsidR="00000000" w:rsidDel="00000000" w:rsidP="00000000" w:rsidRDefault="00000000" w:rsidRPr="00000000">
      <w:pPr>
        <w:ind w:left="-1305" w:firstLine="0"/>
        <w:contextualSpacing w:val="0"/>
      </w:pPr>
      <w:r w:rsidDel="00000000" w:rsidR="00000000" w:rsidRPr="00000000">
        <w:rPr>
          <w:rtl w:val="0"/>
        </w:rPr>
      </w:r>
    </w:p>
    <w:p w:rsidR="00000000" w:rsidDel="00000000" w:rsidP="00000000" w:rsidRDefault="00000000" w:rsidRPr="00000000">
      <w:pPr>
        <w:ind w:left="-1140.5905511811025" w:firstLine="0"/>
        <w:contextualSpacing w:val="0"/>
      </w:pPr>
      <w:r w:rsidDel="00000000" w:rsidR="00000000" w:rsidRPr="00000000">
        <w:rPr>
          <w:b w:val="1"/>
          <w:rtl w:val="0"/>
        </w:rPr>
        <w:t xml:space="preserve">Si vous êtes Germains, vous pouvez, a la fin de la protection débutant sortir 50 Gougous pour piller, cela avancera le développement !!</w:t>
      </w:r>
      <w:r w:rsidDel="00000000" w:rsidR="00000000" w:rsidRPr="00000000">
        <w:rPr>
          <w:rtl w:val="0"/>
        </w:rPr>
      </w:r>
    </w:p>
    <w:p w:rsidR="00000000" w:rsidDel="00000000" w:rsidP="00000000" w:rsidRDefault="00000000" w:rsidRPr="00000000">
      <w:pPr>
        <w:ind w:left="-1140.5905511811025" w:firstLine="0"/>
        <w:contextualSpacing w:val="0"/>
      </w:pPr>
      <w:r w:rsidDel="00000000" w:rsidR="00000000" w:rsidRPr="00000000">
        <w:rPr>
          <w:b w:val="1"/>
          <w:rtl w:val="0"/>
        </w:rPr>
        <w:t xml:space="preserve">60 Légionnaires pour les romains</w:t>
      </w:r>
      <w:r w:rsidDel="00000000" w:rsidR="00000000" w:rsidRPr="00000000">
        <w:rPr>
          <w:rtl w:val="0"/>
        </w:rPr>
      </w:r>
    </w:p>
    <w:p w:rsidR="00000000" w:rsidDel="00000000" w:rsidP="00000000" w:rsidRDefault="00000000" w:rsidRPr="00000000">
      <w:pPr>
        <w:ind w:left="-1140.5905511811025" w:firstLine="0"/>
        <w:contextualSpacing w:val="0"/>
      </w:pPr>
      <w:r w:rsidDel="00000000" w:rsidR="00000000" w:rsidRPr="00000000">
        <w:rPr>
          <w:b w:val="1"/>
          <w:rtl w:val="0"/>
        </w:rPr>
        <w:t xml:space="preserve">Les gaulois, j’ai pas encore essayé ^^</w:t>
      </w:r>
      <w:r w:rsidDel="00000000" w:rsidR="00000000" w:rsidRPr="00000000">
        <w:rPr>
          <w:rtl w:val="0"/>
        </w:rPr>
      </w:r>
    </w:p>
    <w:p w:rsidR="00000000" w:rsidDel="00000000" w:rsidP="00000000" w:rsidRDefault="00000000" w:rsidRPr="00000000">
      <w:pPr>
        <w:ind w:left="-1305" w:firstLine="0"/>
        <w:contextualSpacing w:val="0"/>
      </w:pPr>
      <w:r w:rsidDel="00000000" w:rsidR="00000000" w:rsidRPr="00000000">
        <w:rPr>
          <w:rtl w:val="0"/>
        </w:rPr>
      </w:r>
    </w:p>
    <w:p w:rsidR="00000000" w:rsidDel="00000000" w:rsidP="00000000" w:rsidRDefault="00000000" w:rsidRPr="00000000">
      <w:pPr>
        <w:ind w:left="-1305"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b w:val="1"/>
          <w:color w:val="ff9900"/>
        </w:rPr>
      </w:pPr>
      <w:r w:rsidDel="00000000" w:rsidR="00000000" w:rsidRPr="00000000">
        <w:rPr>
          <w:b w:val="1"/>
          <w:color w:val="ff9900"/>
          <w:u w:val="single"/>
          <w:rtl w:val="0"/>
        </w:rPr>
        <w:t xml:space="preserve">Note pour les Gros Goldeur :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Rule="auto"/>
        <w:ind w:left="720" w:hanging="360"/>
        <w:contextualSpacing w:val="1"/>
        <w:rPr>
          <w:b w:val="1"/>
          <w:color w:val="980000"/>
        </w:rPr>
      </w:pPr>
      <w:r w:rsidDel="00000000" w:rsidR="00000000" w:rsidRPr="00000000">
        <w:rPr>
          <w:b w:val="1"/>
          <w:color w:val="980000"/>
          <w:rtl w:val="0"/>
        </w:rPr>
        <w:t xml:space="preserve">Si vous avez les Moyens d’acheter des cages, je vous conseille Fortement de Sortir 45 Gougous (ou 54 légionnaires ) dès les 10 aventures et de vider les oasis, les 50 % Possèdent 8 000 Ressources !!</w:t>
      </w:r>
      <w:r w:rsidDel="00000000" w:rsidR="00000000" w:rsidRPr="00000000">
        <w:rPr>
          <w:rtl w:val="0"/>
        </w:rPr>
      </w:r>
    </w:p>
    <w:p w:rsidR="00000000" w:rsidDel="00000000" w:rsidP="00000000" w:rsidRDefault="00000000" w:rsidRPr="00000000">
      <w:pPr>
        <w:ind w:left="-1305" w:firstLine="0"/>
        <w:contextualSpacing w:val="0"/>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b w:val="1"/>
          <w:color w:val="1155cc"/>
        </w:rPr>
      </w:pPr>
      <w:r w:rsidDel="00000000" w:rsidR="00000000" w:rsidRPr="00000000">
        <w:rPr>
          <w:b w:val="1"/>
          <w:color w:val="1155cc"/>
          <w:rtl w:val="0"/>
        </w:rPr>
        <w:t xml:space="preserve">Chose importante, il faut que le héros soit armé (de préférence une arme de peu d’importance, donc peu demandée, comme une lance de lancier), afin de pouvoir mettre le maximum de points en ressources tout en faisant les aventures sans risque à l’arrivée. Ça permet d’économiser un maximum de PO, pas besoin de livres, tout en optimisant l’avancée du compte.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color w:val="980000"/>
          <w:rtl w:val="0"/>
        </w:rPr>
        <w:t xml:space="preserve">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Rule="auto"/>
        <w:ind w:left="720" w:hanging="360"/>
        <w:contextualSpacing w:val="1"/>
        <w:rPr>
          <w:b w:val="1"/>
          <w:color w:val="ff0000"/>
        </w:rPr>
      </w:pPr>
      <w:r w:rsidDel="00000000" w:rsidR="00000000" w:rsidRPr="00000000">
        <w:rPr>
          <w:b w:val="1"/>
          <w:color w:val="ff0000"/>
          <w:u w:val="single"/>
          <w:rtl w:val="0"/>
        </w:rPr>
        <w:t xml:space="preserve">A Savoir</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980000"/>
          <w:rtl w:val="0"/>
        </w:rPr>
        <w:t xml:space="preserve">Une Résidence = 60 000 Ressources</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980000"/>
          <w:rtl w:val="0"/>
        </w:rPr>
        <w:t xml:space="preserve">1 Colon = entre 18 000 et 20 000 ressources selon les peuples ! ToTal : 120 000 Ressources</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980000"/>
          <w:rtl w:val="0"/>
        </w:rPr>
        <w:t xml:space="preserve">Donc on divise Par la prod Actuelle pour calculer en combien d’heures on peux les sortir.</w:t>
      </w: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980000"/>
          <w:rtl w:val="0"/>
        </w:rPr>
        <w:t xml:space="preserve">Même Si on est pas un goldeur, on essaie de NPC pour la résidence 10 ou les colons, ça fais gagner du temps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spacing w:after="0" w:before="0" w:lineRule="auto"/>
        <w:ind w:left="720" w:hanging="360"/>
        <w:contextualSpacing w:val="1"/>
        <w:rPr>
          <w:b w:val="1"/>
          <w:color w:val="351c75"/>
        </w:rPr>
      </w:pPr>
      <w:r w:rsidDel="00000000" w:rsidR="00000000" w:rsidRPr="00000000">
        <w:rPr>
          <w:b w:val="1"/>
          <w:color w:val="351c75"/>
          <w:rtl w:val="0"/>
        </w:rPr>
        <w:t xml:space="preserve">Il Est conseillé, même pour les non Goldeurs, de Golder un minimum au start, essentiellement en Npc car la production de céréales sera plus élevée que celles de BTF</w:t>
      </w:r>
    </w:p>
    <w:p w:rsidR="00000000" w:rsidDel="00000000" w:rsidP="00000000" w:rsidRDefault="00000000" w:rsidRPr="00000000">
      <w:pPr>
        <w:numPr>
          <w:ilvl w:val="0"/>
          <w:numId w:val="9"/>
        </w:numPr>
        <w:spacing w:after="0" w:before="0" w:lineRule="auto"/>
        <w:ind w:left="720" w:hanging="360"/>
        <w:contextualSpacing w:val="1"/>
        <w:rPr>
          <w:b w:val="1"/>
          <w:color w:val="351c75"/>
        </w:rPr>
      </w:pPr>
      <w:r w:rsidDel="00000000" w:rsidR="00000000" w:rsidRPr="00000000">
        <w:rPr>
          <w:b w:val="1"/>
          <w:color w:val="351c75"/>
          <w:rtl w:val="0"/>
        </w:rPr>
        <w:t xml:space="preserve">Les Goldeurs, essayez de construire tout les champs et bâtiments en instantané pour le Start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40"/>
          <w:szCs w:val="40"/>
          <w:u w:val="single"/>
          <w:rtl w:val="0"/>
        </w:rPr>
        <w:t xml:space="preserve">l'étape 00 est un Guide commencez a l’étape 1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1295.0" w:type="dxa"/>
        <w:jc w:val="left"/>
        <w:tblInd w:w="-1135.0" w:type="dxa"/>
        <w:tblLayout w:type="fixed"/>
        <w:tblLook w:val="0600"/>
      </w:tblPr>
      <w:tblGrid>
        <w:gridCol w:w="525"/>
        <w:gridCol w:w="10770"/>
        <w:tblGridChange w:id="0">
          <w:tblGrid>
            <w:gridCol w:w="525"/>
            <w:gridCol w:w="10770"/>
          </w:tblGrid>
        </w:tblGridChange>
      </w:tblGrid>
      <w:tr>
        <w:tc>
          <w:tcPr>
            <w:tcBorders>
              <w:top w:color="000000" w:space="0" w:sz="6" w:val="single"/>
              <w:left w:color="000000" w:space="0" w:sz="6" w:val="single"/>
              <w:bottom w:color="000000" w:space="0" w:sz="6" w:val="single"/>
              <w:right w:color="000000" w:space="0" w:sz="6" w:val="single"/>
            </w:tcBorders>
            <w:shd w:fill="ff0000"/>
            <w:tcMar>
              <w:top w:w="100.0" w:type="dxa"/>
              <w:left w:w="100.0" w:type="dxa"/>
              <w:bottom w:w="100.0" w:type="dxa"/>
              <w:right w:w="100.0" w:type="dxa"/>
            </w:tcMar>
          </w:tcPr>
          <w:p w:rsidR="00000000" w:rsidDel="00000000" w:rsidP="00000000" w:rsidRDefault="00000000" w:rsidRPr="00000000">
            <w:pPr>
              <w:spacing w:line="288" w:lineRule="auto"/>
              <w:contextualSpacing w:val="0"/>
              <w:jc w:val="cente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9900"/>
            <w:tcMar>
              <w:top w:w="100.0" w:type="dxa"/>
              <w:left w:w="100.0" w:type="dxa"/>
              <w:bottom w:w="100.0" w:type="dxa"/>
              <w:right w:w="100.0" w:type="dxa"/>
            </w:tcMar>
          </w:tcPr>
          <w:p w:rsidR="00000000" w:rsidDel="00000000" w:rsidP="00000000" w:rsidRDefault="00000000" w:rsidRPr="00000000">
            <w:pPr>
              <w:spacing w:line="288" w:lineRule="auto"/>
              <w:contextualSpacing w:val="0"/>
              <w:jc w:val="center"/>
            </w:pPr>
            <w:r w:rsidDel="00000000" w:rsidR="00000000" w:rsidRPr="00000000">
              <w:rPr>
                <w:b w:val="1"/>
                <w:rtl w:val="0"/>
              </w:rPr>
              <w:t xml:space="preserve">Étapes</w:t>
            </w:r>
            <w:r w:rsidDel="00000000" w:rsidR="00000000" w:rsidRPr="00000000">
              <w:rPr>
                <w:rtl w:val="0"/>
              </w:rPr>
            </w:r>
          </w:p>
          <w:p w:rsidR="00000000" w:rsidDel="00000000" w:rsidP="00000000" w:rsidRDefault="00000000" w:rsidRPr="00000000">
            <w:pPr>
              <w:spacing w:line="288" w:lineRule="auto"/>
              <w:contextualSpacing w:val="0"/>
              <w:jc w:val="center"/>
            </w:pPr>
            <w:r w:rsidDel="00000000" w:rsidR="00000000" w:rsidRPr="00000000">
              <w:rPr>
                <w:b w:val="1"/>
                <w:rtl w:val="0"/>
              </w:rPr>
              <w:t xml:space="preserve">(Q = Quête)</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c27ba0"/>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00</w:t>
            </w:r>
          </w:p>
        </w:tc>
        <w:tc>
          <w:tcPr>
            <w:tcBorders>
              <w:top w:color="000000" w:space="0" w:sz="6" w:val="single"/>
              <w:left w:color="000000" w:space="0" w:sz="6" w:val="single"/>
              <w:bottom w:color="000000" w:space="0" w:sz="6" w:val="single"/>
              <w:right w:color="000000" w:space="0" w:sz="6" w:val="single"/>
            </w:tcBorders>
            <w:shd w:fill="c27ba0"/>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u w:val="single"/>
                <w:rtl w:val="0"/>
              </w:rPr>
              <w:t xml:space="preserve">Toujours monter les Champs en Suivant Cet Ordre :</w:t>
            </w:r>
            <w:r w:rsidDel="00000000" w:rsidR="00000000" w:rsidRPr="00000000">
              <w:rPr>
                <w:rtl w:val="0"/>
              </w:rPr>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Céréales niveau 2 (69.16)</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Bois niveau 2 (83)</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Argile niveau 2 (84)</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Céréales niveau 3 (86.875)</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Bois niveau 3 (99.28)</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Argile niveau 3 (100)</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Fer niveau 2 (112)</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Céréales niveau 4 (116.5)</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Fer niveau 3 (125.83)</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Bois niveau 4 (129.44)</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Cinq Champs de Céréales a 5 puis Moulin (passage lvl 2 avec la Quête) puis dernier cc a 5</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Céréales niveau 6 (127.95)</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Argile niveau 4 (130)</w:t>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Fer a 4 (138.4)</w:t>
            </w:r>
            <w:r w:rsidDel="00000000" w:rsidR="00000000" w:rsidRPr="00000000">
              <w:rPr>
                <w:rtl w:val="0"/>
              </w:rPr>
            </w:r>
          </w:p>
          <w:p w:rsidR="00000000" w:rsidDel="00000000" w:rsidP="00000000" w:rsidRDefault="00000000" w:rsidRPr="00000000">
            <w:pPr>
              <w:numPr>
                <w:ilvl w:val="0"/>
                <w:numId w:val="5"/>
              </w:numPr>
              <w:spacing w:after="0"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Argile niveau 5 (138.57)</w:t>
            </w:r>
          </w:p>
          <w:p w:rsidR="00000000" w:rsidDel="00000000" w:rsidP="00000000" w:rsidRDefault="00000000" w:rsidRPr="00000000">
            <w:pPr>
              <w:numPr>
                <w:ilvl w:val="0"/>
                <w:numId w:val="5"/>
              </w:numPr>
              <w:spacing w:before="0" w:line="288" w:lineRule="auto"/>
              <w:ind w:left="720" w:hanging="360"/>
              <w:contextualSpacing w:val="1"/>
              <w:rPr>
                <w:b w:val="1"/>
                <w:color w:val="333333"/>
                <w:sz w:val="20"/>
                <w:szCs w:val="20"/>
              </w:rPr>
            </w:pPr>
            <w:r w:rsidDel="00000000" w:rsidR="00000000" w:rsidRPr="00000000">
              <w:rPr>
                <w:b w:val="1"/>
                <w:color w:val="333333"/>
                <w:sz w:val="20"/>
                <w:szCs w:val="20"/>
                <w:rtl w:val="0"/>
              </w:rPr>
              <w:t xml:space="preserve">Bois niveau 5 (138.92)</w:t>
            </w:r>
          </w:p>
        </w:tc>
      </w:tr>
      <w:tr>
        <w:tc>
          <w:tcPr>
            <w:tcBorders>
              <w:top w:color="000000" w:space="0" w:sz="6" w:val="single"/>
              <w:left w:color="000000" w:space="0" w:sz="6" w:val="single"/>
              <w:bottom w:color="000000" w:space="0" w:sz="6" w:val="single"/>
              <w:right w:color="000000" w:space="0" w:sz="6" w:val="single"/>
            </w:tcBorders>
            <w:shd w:fill="00ff00"/>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tcMar>
              <w:top w:w="100.0" w:type="dxa"/>
              <w:left w:w="100.0" w:type="dxa"/>
              <w:bottom w:w="100.0" w:type="dxa"/>
              <w:right w:w="100.0" w:type="dxa"/>
            </w:tcMar>
          </w:tcPr>
          <w:p w:rsidR="00000000" w:rsidDel="00000000" w:rsidP="00000000" w:rsidRDefault="00000000" w:rsidRPr="00000000">
            <w:pPr>
              <w:numPr>
                <w:ilvl w:val="0"/>
                <w:numId w:val="8"/>
              </w:numPr>
              <w:spacing w:after="0" w:line="288" w:lineRule="auto"/>
              <w:ind w:left="720" w:hanging="360"/>
              <w:contextualSpacing w:val="1"/>
              <w:rPr>
                <w:b w:val="1"/>
              </w:rPr>
            </w:pPr>
            <w:r w:rsidDel="00000000" w:rsidR="00000000" w:rsidRPr="00000000">
              <w:rPr>
                <w:b w:val="1"/>
                <w:rtl w:val="0"/>
              </w:rPr>
              <w:t xml:space="preserve">Faire le Tutoriel</w:t>
            </w:r>
            <w:r w:rsidDel="00000000" w:rsidR="00000000" w:rsidRPr="00000000">
              <w:rPr>
                <w:rtl w:val="0"/>
              </w:rPr>
            </w:r>
          </w:p>
          <w:p w:rsidR="00000000" w:rsidDel="00000000" w:rsidP="00000000" w:rsidRDefault="00000000" w:rsidRPr="00000000">
            <w:pPr>
              <w:numPr>
                <w:ilvl w:val="0"/>
                <w:numId w:val="8"/>
              </w:numPr>
              <w:spacing w:before="0" w:line="288" w:lineRule="auto"/>
              <w:ind w:left="720" w:hanging="360"/>
              <w:contextualSpacing w:val="1"/>
              <w:rPr>
                <w:b w:val="1"/>
              </w:rPr>
            </w:pPr>
            <w:r w:rsidDel="00000000" w:rsidR="00000000" w:rsidRPr="00000000">
              <w:rPr>
                <w:b w:val="1"/>
                <w:rtl w:val="0"/>
              </w:rPr>
              <w:t xml:space="preserve">Puis Golder les Bâtiments de la façon suivante :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Fer &amp; Cachette 1</w:t>
            </w:r>
          </w:p>
        </w:tc>
      </w:tr>
      <w:tr>
        <w:tc>
          <w:tcPr>
            <w:tcBorders>
              <w:top w:color="000000" w:space="0" w:sz="6" w:val="single"/>
              <w:left w:color="000000" w:space="0" w:sz="6" w:val="single"/>
              <w:bottom w:color="000000" w:space="0" w:sz="6" w:val="single"/>
              <w:right w:color="000000" w:space="0" w:sz="6" w:val="single"/>
            </w:tcBorders>
            <w:shd w:fill="d9d9d9"/>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d9d9d9"/>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Bois &amp; Argile 1</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CC &amp; Fer 1</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Récupérer les 25 Pts</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7</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Regarder Stats et Changer Nom du Vivi</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8</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BP 2 &amp; 3</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9</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Silo &amp; Argile 1</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Marché &amp; Argile 1</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11</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Vendre sur marché (et annuler)</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12</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 x Cc à 1</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13</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Bois &amp; Fer </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14</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 x Cc à 1</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15</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Héros : 1 Pts force &amp; 3 Pts Ressources.</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16</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Q dépôt niveau 3 + Silo niveau 2 ( gold )</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17</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Bois &amp; Fer 1</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18</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Ambassade 1 &amp; Fer 2</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19</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Terre &amp; Dépôt 2</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20</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CC 2 &amp; Dépôt 3</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21</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Silo 2 &amp; 3</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22</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rtl w:val="0"/>
              </w:rPr>
              <w:t xml:space="preserve">3 Fois</w:t>
            </w:r>
            <w:r w:rsidDel="00000000" w:rsidR="00000000" w:rsidRPr="00000000">
              <w:rPr>
                <w:rtl w:val="0"/>
              </w:rPr>
              <w:t xml:space="preserve"> 2 x CC à 2</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23</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rtl w:val="0"/>
              </w:rPr>
              <w:t xml:space="preserve">2 Fois</w:t>
            </w:r>
            <w:r w:rsidDel="00000000" w:rsidR="00000000" w:rsidRPr="00000000">
              <w:rPr>
                <w:rtl w:val="0"/>
              </w:rPr>
              <w:t xml:space="preserve"> 2 x Bois à 2</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24</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rtl w:val="0"/>
              </w:rPr>
              <w:t xml:space="preserve">2 Fois</w:t>
            </w:r>
            <w:r w:rsidDel="00000000" w:rsidR="00000000" w:rsidRPr="00000000">
              <w:rPr>
                <w:rtl w:val="0"/>
              </w:rPr>
              <w:t xml:space="preserve"> 2 x Argile à 2</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25</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BP 4 &amp; 5</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26</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Résidence </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27</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Dépôt 4 &amp; 5</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28</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Dépôt 6 &amp; 7</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29</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color w:val="9900ff"/>
                <w:rtl w:val="0"/>
              </w:rPr>
              <w:t xml:space="preserve">Voir la Quête 31 pour les Serveurs Lents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30</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b w:val="1"/>
                <w:color w:val="9900ff"/>
                <w:rtl w:val="0"/>
              </w:rPr>
              <w:t xml:space="preserve">Suivre la config Champs en 00</w:t>
            </w:r>
            <w:r w:rsidDel="00000000" w:rsidR="00000000" w:rsidRPr="00000000">
              <w:rPr>
                <w:rtl w:val="0"/>
              </w:rPr>
            </w:r>
          </w:p>
        </w:tc>
      </w:tr>
      <w:tr>
        <w:trPr>
          <w:trHeight w:val="660" w:hRule="atLeast"/>
        </w:trPr>
        <w:tc>
          <w:tcPr>
            <w:tcBorders>
              <w:top w:color="000000" w:space="0" w:sz="6" w:val="single"/>
              <w:left w:color="000000" w:space="0" w:sz="6" w:val="single"/>
              <w:bottom w:color="000000" w:space="0" w:sz="6" w:val="single"/>
              <w:right w:color="000000" w:space="0" w:sz="6" w:val="single"/>
            </w:tcBorders>
            <w:shd w:fill="9900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31</w:t>
            </w:r>
          </w:p>
        </w:tc>
        <w:tc>
          <w:tcPr>
            <w:tcBorders>
              <w:top w:color="000000" w:space="0" w:sz="6" w:val="single"/>
              <w:left w:color="000000" w:space="0" w:sz="6" w:val="single"/>
              <w:bottom w:color="000000" w:space="0" w:sz="6" w:val="single"/>
              <w:right w:color="000000" w:space="0" w:sz="6" w:val="single"/>
            </w:tcBorders>
            <w:shd w:fill="ffff00"/>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En cas De Manque de PC prévu (pas d’achat du casque Gladiateur) Monter une Cachette a 10, Puis des Cachettes a 3 (Pas Besoin sur un speed en général)</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32</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Augmenter le silo 7 (Pour les germains, les Autres Peuples on besoin de moins de cc</w:t>
            </w:r>
          </w:p>
        </w:tc>
      </w:tr>
      <w:tr>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33</w:t>
            </w:r>
          </w:p>
        </w:tc>
        <w:tc>
          <w:tcPr>
            <w:tcBorders>
              <w:top w:color="000000" w:space="0" w:sz="6" w:val="single"/>
              <w:left w:color="000000" w:space="0" w:sz="6" w:val="single"/>
              <w:bottom w:color="000000" w:space="0" w:sz="6" w:val="single"/>
              <w:right w:color="000000" w:space="0" w:sz="6" w:val="single"/>
            </w:tcBorders>
            <w:shd w:fill="00ffff"/>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Monter résidence 10</w:t>
            </w:r>
          </w:p>
        </w:tc>
      </w:tr>
      <w:tr>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34</w:t>
            </w:r>
          </w:p>
        </w:tc>
        <w:tc>
          <w:tcPr>
            <w:tcBorders>
              <w:top w:color="000000" w:space="0" w:sz="6" w:val="single"/>
              <w:left w:color="000000" w:space="0" w:sz="6" w:val="single"/>
              <w:bottom w:color="000000" w:space="0" w:sz="6" w:val="single"/>
              <w:right w:color="000000" w:space="0" w:sz="6" w:val="single"/>
            </w:tcBorders>
            <w:shd w:fill="cccccc"/>
            <w:tcMar>
              <w:top w:w="100.0" w:type="dxa"/>
              <w:left w:w="100.0" w:type="dxa"/>
              <w:bottom w:w="100.0" w:type="dxa"/>
              <w:right w:w="100.0" w:type="dxa"/>
            </w:tcMar>
          </w:tcPr>
          <w:p w:rsidR="00000000" w:rsidDel="00000000" w:rsidP="00000000" w:rsidRDefault="00000000" w:rsidRPr="00000000">
            <w:pPr>
              <w:spacing w:line="288" w:lineRule="auto"/>
              <w:contextualSpacing w:val="0"/>
            </w:pPr>
            <w:r w:rsidDel="00000000" w:rsidR="00000000" w:rsidRPr="00000000">
              <w:rPr>
                <w:rtl w:val="0"/>
              </w:rPr>
              <w:t xml:space="preserve">Lancer les colons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cc4125"/>
          <w:u w:val="single"/>
          <w:rtl w:val="0"/>
        </w:rPr>
        <w:t xml:space="preserve">Valider la Quête 3 Colons et Nouveau Village sur le v2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32"/>
          <w:szCs w:val="32"/>
          <w:rtl w:val="0"/>
        </w:rPr>
        <w:t xml:space="preserve">Pour Continuer Voici Comment Monter Au mieux un 15 cc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right="-1155" w:hanging="360"/>
        <w:contextualSpacing w:val="1"/>
        <w:rPr/>
      </w:pPr>
      <w:r w:rsidDel="00000000" w:rsidR="00000000" w:rsidRPr="00000000">
        <w:rPr>
          <w:rtl w:val="0"/>
        </w:rPr>
        <w:t xml:space="preserve">Sur un Speed :</w:t>
      </w:r>
      <w:r w:rsidDel="00000000" w:rsidR="00000000" w:rsidRPr="00000000">
        <w:rPr>
          <w:rtl w:val="0"/>
        </w:rPr>
      </w:r>
    </w:p>
    <w:p w:rsidR="00000000" w:rsidDel="00000000" w:rsidP="00000000" w:rsidRDefault="00000000" w:rsidRPr="00000000">
      <w:pPr>
        <w:ind w:right="-1155"/>
        <w:contextualSpacing w:val="0"/>
      </w:pPr>
      <w:r w:rsidDel="00000000" w:rsidR="00000000" w:rsidRPr="00000000">
        <w:drawing>
          <wp:inline distB="114300" distT="114300" distL="114300" distR="114300">
            <wp:extent cx="6048000" cy="2730500"/>
            <wp:effectExtent b="0" l="0" r="0" t="0"/>
            <wp:docPr descr="montage speed.png" id="1" name="image02.png"/>
            <a:graphic>
              <a:graphicData uri="http://schemas.openxmlformats.org/drawingml/2006/picture">
                <pic:pic>
                  <pic:nvPicPr>
                    <pic:cNvPr descr="montage speed.png" id="0" name="image02.png"/>
                    <pic:cNvPicPr preferRelativeResize="0"/>
                  </pic:nvPicPr>
                  <pic:blipFill>
                    <a:blip r:embed="rId5"/>
                    <a:srcRect b="0" l="0" r="0" t="0"/>
                    <a:stretch>
                      <a:fillRect/>
                    </a:stretch>
                  </pic:blipFill>
                  <pic:spPr>
                    <a:xfrm>
                      <a:off x="0" y="0"/>
                      <a:ext cx="6048000" cy="2730500"/>
                    </a:xfrm>
                    <a:prstGeom prst="rect"/>
                    <a:ln/>
                  </pic:spPr>
                </pic:pic>
              </a:graphicData>
            </a:graphic>
          </wp:inline>
        </w:drawing>
      </w:r>
      <w:r w:rsidDel="00000000" w:rsidR="00000000" w:rsidRPr="00000000">
        <w:rPr>
          <w:rtl w:val="0"/>
        </w:rPr>
      </w:r>
    </w:p>
    <w:p w:rsidR="00000000" w:rsidDel="00000000" w:rsidP="00000000" w:rsidRDefault="00000000" w:rsidRPr="00000000">
      <w:pPr>
        <w:ind w:right="-1155"/>
        <w:contextualSpacing w:val="0"/>
      </w:pPr>
      <w:r w:rsidDel="00000000" w:rsidR="00000000" w:rsidRPr="00000000">
        <w:rPr>
          <w:rtl w:val="0"/>
        </w:rPr>
      </w:r>
    </w:p>
    <w:p w:rsidR="00000000" w:rsidDel="00000000" w:rsidP="00000000" w:rsidRDefault="00000000" w:rsidRPr="00000000">
      <w:pPr>
        <w:ind w:right="-1155"/>
        <w:contextualSpacing w:val="0"/>
      </w:pPr>
      <w:r w:rsidDel="00000000" w:rsidR="00000000" w:rsidRPr="00000000">
        <w:rPr>
          <w:rtl w:val="0"/>
        </w:rPr>
      </w:r>
    </w:p>
    <w:p w:rsidR="00000000" w:rsidDel="00000000" w:rsidP="00000000" w:rsidRDefault="00000000" w:rsidRPr="00000000">
      <w:pPr>
        <w:numPr>
          <w:ilvl w:val="0"/>
          <w:numId w:val="2"/>
        </w:numPr>
        <w:ind w:left="720" w:right="-1155" w:hanging="360"/>
        <w:contextualSpacing w:val="1"/>
        <w:rPr/>
      </w:pPr>
      <w:r w:rsidDel="00000000" w:rsidR="00000000" w:rsidRPr="00000000">
        <w:rPr>
          <w:rtl w:val="0"/>
        </w:rPr>
        <w:t xml:space="preserve">Serveur Normal :</w:t>
      </w:r>
      <w:r w:rsidDel="00000000" w:rsidR="00000000" w:rsidRPr="00000000">
        <w:rPr>
          <w:rtl w:val="0"/>
        </w:rPr>
      </w:r>
    </w:p>
    <w:p w:rsidR="00000000" w:rsidDel="00000000" w:rsidP="00000000" w:rsidRDefault="00000000" w:rsidRPr="00000000">
      <w:pPr>
        <w:ind w:right="-1155"/>
        <w:contextualSpacing w:val="0"/>
      </w:pPr>
      <w:r w:rsidDel="00000000" w:rsidR="00000000" w:rsidRPr="00000000">
        <w:drawing>
          <wp:inline distB="114300" distT="114300" distL="114300" distR="114300">
            <wp:extent cx="6048000" cy="2730500"/>
            <wp:effectExtent b="0" l="0" r="0" t="0"/>
            <wp:docPr descr="montage normal.png" id="2" name="image03.png"/>
            <a:graphic>
              <a:graphicData uri="http://schemas.openxmlformats.org/drawingml/2006/picture">
                <pic:pic>
                  <pic:nvPicPr>
                    <pic:cNvPr descr="montage normal.png" id="0" name="image03.png"/>
                    <pic:cNvPicPr preferRelativeResize="0"/>
                  </pic:nvPicPr>
                  <pic:blipFill>
                    <a:blip r:embed="rId6"/>
                    <a:srcRect b="0" l="0" r="0" t="0"/>
                    <a:stretch>
                      <a:fillRect/>
                    </a:stretch>
                  </pic:blipFill>
                  <pic:spPr>
                    <a:xfrm>
                      <a:off x="0" y="0"/>
                      <a:ext cx="6048000" cy="2730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By Tikiii971</w:t>
      </w:r>
    </w:p>
    <w:sectPr>
      <w:pgSz w:h="15840" w:w="12240"/>
      <w:pgMar w:bottom="56.69291338582678" w:top="56.69291338582678" w:left="1275.5905511811025" w:right="1440.00000000000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png"/><Relationship Id="rId6" Type="http://schemas.openxmlformats.org/officeDocument/2006/relationships/image" Target="media/image03.png"/></Relationships>
</file>